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823E91" w14:textId="77777777" w:rsidR="00B93EE5" w:rsidRDefault="00B93EE5" w:rsidP="00B93EE5">
      <w:pPr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>Hi Alan,</w:t>
      </w:r>
    </w:p>
    <w:p w14:paraId="5CA7247B" w14:textId="77777777" w:rsidR="00B93EE5" w:rsidRDefault="00B93EE5" w:rsidP="00B93EE5">
      <w:pPr>
        <w:rPr>
          <w:rFonts w:eastAsia="Times New Roman"/>
          <w:color w:val="000000"/>
          <w:sz w:val="22"/>
          <w:szCs w:val="22"/>
        </w:rPr>
      </w:pPr>
    </w:p>
    <w:p w14:paraId="132F5A6D" w14:textId="77777777" w:rsidR="00B93EE5" w:rsidRDefault="00B93EE5" w:rsidP="00B93EE5">
      <w:pPr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>Hope you are well! Please see our comment below on the 2026-2027 QAP draft. </w:t>
      </w:r>
    </w:p>
    <w:p w14:paraId="1AACD5FA" w14:textId="77777777" w:rsidR="00B93EE5" w:rsidRDefault="00B93EE5" w:rsidP="00B93EE5">
      <w:pPr>
        <w:rPr>
          <w:rFonts w:eastAsia="Times New Roman"/>
          <w:color w:val="000000"/>
          <w:sz w:val="22"/>
          <w:szCs w:val="22"/>
        </w:rPr>
      </w:pPr>
    </w:p>
    <w:p w14:paraId="73998B25" w14:textId="77777777" w:rsidR="00B93EE5" w:rsidRDefault="00B93EE5" w:rsidP="00B93EE5">
      <w:pPr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>Thank you!</w:t>
      </w:r>
    </w:p>
    <w:p w14:paraId="647BF48A" w14:textId="77777777" w:rsidR="00B93EE5" w:rsidRDefault="00B93EE5" w:rsidP="00B93EE5">
      <w:pPr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>Sarah</w:t>
      </w:r>
    </w:p>
    <w:p w14:paraId="026133C5" w14:textId="77777777" w:rsidR="00B93EE5" w:rsidRDefault="00B93EE5" w:rsidP="00B93EE5">
      <w:pPr>
        <w:rPr>
          <w:rFonts w:eastAsia="Times New Roman"/>
          <w:color w:val="000000"/>
          <w:sz w:val="22"/>
          <w:szCs w:val="22"/>
        </w:rPr>
      </w:pPr>
    </w:p>
    <w:p w14:paraId="660BB3AD" w14:textId="77777777" w:rsidR="00B93EE5" w:rsidRDefault="00B93EE5" w:rsidP="00B93EE5">
      <w:pPr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b/>
          <w:bCs/>
          <w:color w:val="000000"/>
          <w:sz w:val="22"/>
          <w:szCs w:val="22"/>
        </w:rPr>
        <w:t>P. 16 - Part 4.4|Preservation of Existing Federally Assisted Affordable Housing</w:t>
      </w:r>
    </w:p>
    <w:p w14:paraId="69F8ED02" w14:textId="77777777" w:rsidR="00B93EE5" w:rsidRDefault="00B93EE5" w:rsidP="00B93EE5">
      <w:pPr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>Question – For a single project to qualify under this set-aside, does the proposed project need to include 50% or more of the original Federally-assisted project’s units as replacement units, or do 50% of the current project’s units need to be replacement units?</w:t>
      </w:r>
    </w:p>
    <w:p w14:paraId="0DA94B8F" w14:textId="77777777" w:rsidR="00B93EE5" w:rsidRDefault="00B93EE5" w:rsidP="00B93EE5">
      <w:pPr>
        <w:numPr>
          <w:ilvl w:val="0"/>
          <w:numId w:val="1"/>
        </w:numPr>
        <w:spacing w:line="254" w:lineRule="auto"/>
        <w:ind w:left="1440"/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 xml:space="preserve">If the project must include 50% of the original project’s count, consider </w:t>
      </w:r>
      <w:proofErr w:type="gramStart"/>
      <w:r>
        <w:rPr>
          <w:rFonts w:eastAsia="Times New Roman"/>
          <w:color w:val="000000"/>
          <w:sz w:val="22"/>
          <w:szCs w:val="22"/>
        </w:rPr>
        <w:t>reducing</w:t>
      </w:r>
      <w:proofErr w:type="gramEnd"/>
      <w:r>
        <w:rPr>
          <w:rFonts w:eastAsia="Times New Roman"/>
          <w:color w:val="000000"/>
          <w:sz w:val="22"/>
          <w:szCs w:val="22"/>
        </w:rPr>
        <w:t xml:space="preserve"> to 30%. Former public housing and federally assisted projects tend to be large, and a smaller requirement for replacement units per phase would allow for the replacement of these federally assisted units while encouraging mixed-income development and </w:t>
      </w:r>
      <w:proofErr w:type="spellStart"/>
      <w:r>
        <w:rPr>
          <w:rFonts w:eastAsia="Times New Roman"/>
          <w:color w:val="000000"/>
          <w:sz w:val="22"/>
          <w:szCs w:val="22"/>
        </w:rPr>
        <w:t>deconcentration</w:t>
      </w:r>
      <w:proofErr w:type="spellEnd"/>
      <w:r>
        <w:rPr>
          <w:rFonts w:eastAsia="Times New Roman"/>
          <w:color w:val="000000"/>
          <w:sz w:val="22"/>
          <w:szCs w:val="22"/>
        </w:rPr>
        <w:t xml:space="preserve"> of poverty.</w:t>
      </w:r>
    </w:p>
    <w:p w14:paraId="32C45AA8" w14:textId="77777777" w:rsidR="00B93EE5" w:rsidRDefault="00B93EE5" w:rsidP="00B93EE5">
      <w:pPr>
        <w:numPr>
          <w:ilvl w:val="0"/>
          <w:numId w:val="1"/>
        </w:numPr>
        <w:spacing w:after="160" w:line="254" w:lineRule="auto"/>
        <w:ind w:left="1440"/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 xml:space="preserve">If the current project must include 50% replacement units, consider </w:t>
      </w:r>
      <w:proofErr w:type="gramStart"/>
      <w:r>
        <w:rPr>
          <w:rFonts w:eastAsia="Times New Roman"/>
          <w:color w:val="000000"/>
          <w:sz w:val="22"/>
          <w:szCs w:val="22"/>
        </w:rPr>
        <w:t>reducing</w:t>
      </w:r>
      <w:proofErr w:type="gramEnd"/>
      <w:r>
        <w:rPr>
          <w:rFonts w:eastAsia="Times New Roman"/>
          <w:color w:val="000000"/>
          <w:sz w:val="22"/>
          <w:szCs w:val="22"/>
        </w:rPr>
        <w:t xml:space="preserve"> to 30% to allow income mixing and </w:t>
      </w:r>
      <w:proofErr w:type="spellStart"/>
      <w:r>
        <w:rPr>
          <w:rFonts w:eastAsia="Times New Roman"/>
          <w:color w:val="000000"/>
          <w:sz w:val="22"/>
          <w:szCs w:val="22"/>
        </w:rPr>
        <w:t>deconcentration</w:t>
      </w:r>
      <w:proofErr w:type="spellEnd"/>
      <w:r>
        <w:rPr>
          <w:rFonts w:eastAsia="Times New Roman"/>
          <w:color w:val="000000"/>
          <w:sz w:val="22"/>
          <w:szCs w:val="22"/>
        </w:rPr>
        <w:t xml:space="preserve"> of poverty.</w:t>
      </w:r>
    </w:p>
    <w:p w14:paraId="31D6B13B" w14:textId="77777777" w:rsidR="00B93EE5" w:rsidRDefault="00B93EE5" w:rsidP="00B93EE5">
      <w:pPr>
        <w:rPr>
          <w:rFonts w:eastAsia="Times New Roman"/>
          <w:color w:val="000000"/>
          <w:sz w:val="22"/>
          <w:szCs w:val="22"/>
        </w:rPr>
      </w:pPr>
    </w:p>
    <w:p w14:paraId="1459E1E1" w14:textId="77777777" w:rsidR="00B93EE5" w:rsidRDefault="00B93EE5" w:rsidP="00B93EE5">
      <w:pPr>
        <w:rPr>
          <w:rFonts w:eastAsia="Times New Roman"/>
          <w:color w:val="000000"/>
          <w:sz w:val="22"/>
          <w:szCs w:val="22"/>
        </w:rPr>
      </w:pPr>
    </w:p>
    <w:p w14:paraId="573B261D" w14:textId="77777777" w:rsidR="00B93EE5" w:rsidRDefault="00B93EE5" w:rsidP="00B93EE5">
      <w:pPr>
        <w:rPr>
          <w:rFonts w:eastAsia="Times New Roman"/>
          <w:color w:val="000000"/>
          <w:sz w:val="22"/>
          <w:szCs w:val="22"/>
        </w:rPr>
      </w:pPr>
    </w:p>
    <w:tbl>
      <w:tblPr>
        <w:tblW w:w="7203" w:type="dxa"/>
        <w:tblLook w:val="04A0" w:firstRow="1" w:lastRow="0" w:firstColumn="1" w:lastColumn="0" w:noHBand="0" w:noVBand="1"/>
      </w:tblPr>
      <w:tblGrid>
        <w:gridCol w:w="2559"/>
        <w:gridCol w:w="4644"/>
      </w:tblGrid>
      <w:tr w:rsidR="00B93EE5" w14:paraId="3669926D" w14:textId="77777777" w:rsidTr="00B93EE5">
        <w:trPr>
          <w:trHeight w:val="2880"/>
        </w:trPr>
        <w:tc>
          <w:tcPr>
            <w:tcW w:w="2559" w:type="dxa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14:paraId="13321B47" w14:textId="0CED6F5A" w:rsidR="00B93EE5" w:rsidRDefault="00B93EE5">
            <w:pPr>
              <w:pStyle w:val="NormalWeb"/>
              <w:jc w:val="center"/>
            </w:pPr>
            <w:r>
              <w:rPr>
                <w:rFonts w:ascii="Calibri" w:hAnsi="Calibri" w:cs="Calibri"/>
                <w:noProof/>
                <w:color w:val="1E2058"/>
                <w:sz w:val="22"/>
                <w:szCs w:val="22"/>
              </w:rPr>
              <w:drawing>
                <wp:inline distT="0" distB="0" distL="0" distR="0" wp14:anchorId="596DB9EA" wp14:editId="6C97471A">
                  <wp:extent cx="1171575" cy="1171575"/>
                  <wp:effectExtent l="0" t="0" r="9525" b="9525"/>
                  <wp:docPr id="1592360763" name="Picture 1" descr="A picture containing logo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2360763" name="Picture 1" descr="A picture containing logo&#10;&#10;AI-generated content may b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4" w:type="dxa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14:paraId="044D261F" w14:textId="77777777" w:rsidR="00B93EE5" w:rsidRDefault="00B93EE5">
            <w:pPr>
              <w:pStyle w:val="NormalWeb"/>
              <w:rPr>
                <w:rFonts w:ascii="Calibri" w:hAnsi="Calibri" w:cs="Calibri"/>
              </w:rPr>
            </w:pPr>
            <w:r>
              <w:rPr>
                <w:rFonts w:ascii="Lato" w:hAnsi="Lato" w:cs="Calibri"/>
                <w:b/>
                <w:bCs/>
                <w:color w:val="1E2058"/>
                <w:sz w:val="20"/>
                <w:szCs w:val="20"/>
              </w:rPr>
              <w:t xml:space="preserve">Sarah Schaefer </w:t>
            </w:r>
            <w:r>
              <w:rPr>
                <w:rFonts w:ascii="Lato" w:hAnsi="Lato" w:cs="Calibri"/>
                <w:color w:val="1E2058"/>
                <w:sz w:val="20"/>
                <w:szCs w:val="20"/>
              </w:rPr>
              <w:t>(she/her)</w:t>
            </w:r>
          </w:p>
          <w:p w14:paraId="1EBC3700" w14:textId="77777777" w:rsidR="00B93EE5" w:rsidRDefault="00B93EE5">
            <w:pPr>
              <w:pStyle w:val="NormalWeb"/>
              <w:rPr>
                <w:rFonts w:ascii="Calibri" w:hAnsi="Calibri" w:cs="Calibri"/>
              </w:rPr>
            </w:pPr>
            <w:r>
              <w:rPr>
                <w:rFonts w:ascii="Lato" w:hAnsi="Lato" w:cs="Calibri"/>
                <w:color w:val="1E2058"/>
                <w:sz w:val="18"/>
                <w:szCs w:val="18"/>
              </w:rPr>
              <w:t>Deputy Director</w:t>
            </w:r>
          </w:p>
          <w:p w14:paraId="3596B645" w14:textId="77777777" w:rsidR="00B93EE5" w:rsidRDefault="00B93EE5">
            <w:pPr>
              <w:pStyle w:val="NormalWeb"/>
              <w:rPr>
                <w:rFonts w:ascii="Calibri" w:hAnsi="Calibri" w:cs="Calibri"/>
              </w:rPr>
            </w:pPr>
            <w:r>
              <w:rPr>
                <w:rFonts w:ascii="Lato" w:hAnsi="Lato" w:cs="Calibri"/>
                <w:color w:val="1E2058"/>
                <w:sz w:val="18"/>
                <w:szCs w:val="18"/>
              </w:rPr>
              <w:t>Department of Community Investment </w:t>
            </w:r>
          </w:p>
          <w:p w14:paraId="71DB428A" w14:textId="77777777" w:rsidR="00B93EE5" w:rsidRDefault="00B93EE5">
            <w:pPr>
              <w:pStyle w:val="NormalWeb"/>
              <w:rPr>
                <w:rFonts w:ascii="Calibri" w:hAnsi="Calibri" w:cs="Calibri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City of South Bend </w:t>
            </w:r>
          </w:p>
          <w:p w14:paraId="0394A14C" w14:textId="77777777" w:rsidR="00B93EE5" w:rsidRDefault="00B93EE5">
            <w:pPr>
              <w:pStyle w:val="NormalWeb"/>
              <w:rPr>
                <w:rFonts w:ascii="Calibri" w:hAnsi="Calibri" w:cs="Calibri"/>
              </w:rPr>
            </w:pPr>
            <w:hyperlink r:id="rId7" w:history="1">
              <w:r>
                <w:rPr>
                  <w:rStyle w:val="Hyperlink"/>
                  <w:rFonts w:ascii="Lato" w:hAnsi="Lato" w:cs="Calibri"/>
                  <w:sz w:val="18"/>
                  <w:szCs w:val="18"/>
                </w:rPr>
                <w:t>sschaefer@southbendin.gov</w:t>
              </w:r>
            </w:hyperlink>
            <w:r>
              <w:rPr>
                <w:rFonts w:ascii="Lato" w:hAnsi="Lato" w:cs="Calibri"/>
                <w:color w:val="1E2058"/>
                <w:sz w:val="18"/>
                <w:szCs w:val="18"/>
              </w:rPr>
              <w:t> </w:t>
            </w:r>
          </w:p>
          <w:p w14:paraId="77FC8924" w14:textId="77777777" w:rsidR="00B93EE5" w:rsidRDefault="00B93EE5">
            <w:pPr>
              <w:pStyle w:val="NormalWeb"/>
              <w:rPr>
                <w:rFonts w:ascii="Calibri" w:hAnsi="Calibri" w:cs="Calibri"/>
              </w:rPr>
            </w:pPr>
            <w:r>
              <w:rPr>
                <w:rFonts w:ascii="Lato" w:hAnsi="Lato" w:cs="Calibri"/>
                <w:color w:val="1E2058"/>
                <w:sz w:val="18"/>
                <w:szCs w:val="18"/>
              </w:rPr>
              <w:t>(574) 235-7696 </w:t>
            </w:r>
          </w:p>
          <w:p w14:paraId="2E26348C" w14:textId="77777777" w:rsidR="00B93EE5" w:rsidRDefault="00B93EE5">
            <w:pPr>
              <w:pStyle w:val="NormalWeb"/>
              <w:rPr>
                <w:rFonts w:ascii="Calibri" w:hAnsi="Calibri" w:cs="Calibri"/>
              </w:rPr>
            </w:pPr>
            <w:r>
              <w:rPr>
                <w:rFonts w:ascii="Lato" w:hAnsi="Lato" w:cs="Calibri"/>
                <w:color w:val="1E2058"/>
                <w:sz w:val="18"/>
                <w:szCs w:val="18"/>
                <w:shd w:val="clear" w:color="auto" w:fill="FFFFFF"/>
              </w:rPr>
              <w:t>227 W. Jefferson Blvd., South Bend, IN 46601</w:t>
            </w:r>
          </w:p>
          <w:p w14:paraId="0ABAAC1D" w14:textId="77777777" w:rsidR="00B93EE5" w:rsidRDefault="00B93EE5">
            <w:pPr>
              <w:pStyle w:val="NormalWeb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color w:val="1F497D"/>
                <w:sz w:val="18"/>
                <w:szCs w:val="18"/>
                <w:shd w:val="clear" w:color="auto" w:fill="FFFFFF"/>
              </w:rPr>
              <w:t>Excellence | Accountability | Innovation | Inclusion | Empowerment</w:t>
            </w:r>
          </w:p>
        </w:tc>
      </w:tr>
    </w:tbl>
    <w:p w14:paraId="46E61058" w14:textId="77777777" w:rsidR="00D63EAF" w:rsidRDefault="00D63EAF"/>
    <w:sectPr w:rsidR="00D63E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531E64"/>
    <w:multiLevelType w:val="multilevel"/>
    <w:tmpl w:val="21A06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7279521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EE5"/>
    <w:rsid w:val="00B93EE5"/>
    <w:rsid w:val="00D63EAF"/>
    <w:rsid w:val="00ED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2B9C73"/>
  <w15:chartTrackingRefBased/>
  <w15:docId w15:val="{454224E9-E4B2-4672-B22A-6390EB98D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3EE5"/>
    <w:pPr>
      <w:spacing w:after="0" w:line="240" w:lineRule="auto"/>
    </w:pPr>
    <w:rPr>
      <w:rFonts w:ascii="Aptos" w:hAnsi="Aptos" w:cs="Aptos"/>
      <w:kern w:val="0"/>
      <w:sz w:val="24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93E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3E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93E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93E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93E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93EE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93EE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93EE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93EE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3E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3E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93E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93EE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3EE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93EE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93EE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93EE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93EE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93EE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93E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93E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93E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93E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93EE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93EE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93EE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93E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93EE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93EE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B93EE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93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75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schaefer@southbendin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41651f0d-879d-4a2e-b55e-81d96af20a8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Rakowski, Alan</dc:creator>
  <cp:keywords/>
  <dc:description/>
  <cp:lastModifiedBy>Rakowski, Alan</cp:lastModifiedBy>
  <cp:revision>1</cp:revision>
  <dcterms:created xsi:type="dcterms:W3CDTF">2025-02-11T15:43:00Z</dcterms:created>
  <dcterms:modified xsi:type="dcterms:W3CDTF">2025-02-11T15:43:00Z</dcterms:modified>
</cp:coreProperties>
</file>